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9" w:rsidRPr="001D2FFA" w:rsidRDefault="001D2FFA" w:rsidP="001D2FFA">
      <w:pPr>
        <w:snapToGrid w:val="0"/>
        <w:spacing w:line="480" w:lineRule="atLeast"/>
        <w:jc w:val="center"/>
        <w:rPr>
          <w:rFonts w:ascii="標楷體" w:eastAsia="標楷體"/>
          <w:sz w:val="48"/>
          <w:szCs w:val="40"/>
        </w:rPr>
      </w:pPr>
      <w:bookmarkStart w:id="0" w:name="_GoBack"/>
      <w:r w:rsidRPr="001D2FFA">
        <w:rPr>
          <w:rFonts w:ascii="標楷體" w:eastAsia="標楷體" w:hint="eastAsia"/>
          <w:sz w:val="48"/>
          <w:szCs w:val="40"/>
        </w:rPr>
        <w:t>未涉案</w:t>
      </w:r>
      <w:r w:rsidR="00071369" w:rsidRPr="001D2FFA">
        <w:rPr>
          <w:rFonts w:ascii="標楷體" w:eastAsia="標楷體" w:hint="eastAsia"/>
          <w:sz w:val="48"/>
          <w:szCs w:val="40"/>
        </w:rPr>
        <w:t>具結書</w:t>
      </w:r>
    </w:p>
    <w:bookmarkEnd w:id="0"/>
    <w:p w:rsidR="00071369" w:rsidRDefault="00071369" w:rsidP="001D2FFA">
      <w:pPr>
        <w:snapToGrid w:val="0"/>
        <w:spacing w:line="640" w:lineRule="atLeast"/>
        <w:jc w:val="both"/>
        <w:rPr>
          <w:rFonts w:ascii="標楷體" w:eastAsia="標楷體"/>
          <w:sz w:val="36"/>
        </w:rPr>
      </w:pPr>
      <w:r w:rsidRPr="001D2FFA">
        <w:rPr>
          <w:rFonts w:ascii="標楷體" w:eastAsia="標楷體" w:hint="eastAsia"/>
          <w:sz w:val="36"/>
        </w:rPr>
        <w:t>本人</w:t>
      </w:r>
      <w:r w:rsidR="001D2FFA" w:rsidRPr="001D2FFA">
        <w:rPr>
          <w:rFonts w:ascii="標楷體" w:eastAsia="標楷體" w:hint="eastAsia"/>
          <w:sz w:val="36"/>
          <w:u w:val="single"/>
        </w:rPr>
        <w:t xml:space="preserve">             </w:t>
      </w:r>
      <w:r w:rsidRPr="001D2FFA">
        <w:rPr>
          <w:rFonts w:ascii="標楷體" w:eastAsia="標楷體" w:hint="eastAsia"/>
          <w:sz w:val="36"/>
        </w:rPr>
        <w:t>申請於民國</w:t>
      </w:r>
      <w:r w:rsidR="001D2FFA" w:rsidRPr="00933333">
        <w:rPr>
          <w:rFonts w:ascii="標楷體" w:eastAsia="標楷體" w:hint="eastAsia"/>
          <w:sz w:val="36"/>
          <w:u w:val="single"/>
        </w:rPr>
        <w:t xml:space="preserve">      </w:t>
      </w:r>
      <w:r w:rsidRPr="001D2FFA">
        <w:rPr>
          <w:rFonts w:ascii="標楷體" w:eastAsia="標楷體" w:hint="eastAsia"/>
          <w:sz w:val="36"/>
        </w:rPr>
        <w:t>年</w:t>
      </w:r>
      <w:r w:rsidR="001D2FFA" w:rsidRPr="00933333">
        <w:rPr>
          <w:rFonts w:ascii="標楷體" w:eastAsia="標楷體" w:hint="eastAsia"/>
          <w:sz w:val="36"/>
          <w:u w:val="single"/>
        </w:rPr>
        <w:t xml:space="preserve">   </w:t>
      </w:r>
      <w:r w:rsidRPr="001D2FFA">
        <w:rPr>
          <w:rFonts w:ascii="標楷體" w:eastAsia="標楷體" w:hint="eastAsia"/>
          <w:sz w:val="36"/>
        </w:rPr>
        <w:t>月</w:t>
      </w:r>
      <w:r w:rsidR="001D2FFA" w:rsidRPr="00933333">
        <w:rPr>
          <w:rFonts w:ascii="標楷體" w:eastAsia="標楷體" w:hint="eastAsia"/>
          <w:sz w:val="36"/>
          <w:u w:val="single"/>
        </w:rPr>
        <w:t xml:space="preserve">   </w:t>
      </w:r>
      <w:r w:rsidRPr="001D2FFA">
        <w:rPr>
          <w:rFonts w:ascii="標楷體" w:eastAsia="標楷體" w:hint="eastAsia"/>
          <w:sz w:val="36"/>
        </w:rPr>
        <w:t>日退休，於退休</w:t>
      </w:r>
      <w:r w:rsidR="001D2FFA" w:rsidRPr="001D2FFA">
        <w:rPr>
          <w:rFonts w:ascii="標楷體" w:eastAsia="標楷體" w:hint="eastAsia"/>
          <w:sz w:val="36"/>
        </w:rPr>
        <w:t>時</w:t>
      </w:r>
      <w:r w:rsidRPr="001D2FFA">
        <w:rPr>
          <w:rFonts w:ascii="標楷體" w:eastAsia="標楷體" w:hint="eastAsia"/>
          <w:sz w:val="36"/>
        </w:rPr>
        <w:t>確未有公務人員退休資遣撫</w:t>
      </w:r>
      <w:proofErr w:type="gramStart"/>
      <w:r w:rsidRPr="001D2FFA">
        <w:rPr>
          <w:rFonts w:ascii="標楷體" w:eastAsia="標楷體" w:hint="eastAsia"/>
          <w:sz w:val="36"/>
        </w:rPr>
        <w:t>卹</w:t>
      </w:r>
      <w:proofErr w:type="gramEnd"/>
      <w:r w:rsidRPr="001D2FFA">
        <w:rPr>
          <w:rFonts w:ascii="標楷體" w:eastAsia="標楷體" w:hint="eastAsia"/>
          <w:sz w:val="36"/>
        </w:rPr>
        <w:t>法第24條及同法施行細則第44條規定之情事，且未涉及任何刑事</w:t>
      </w:r>
      <w:proofErr w:type="gramStart"/>
      <w:r w:rsidRPr="001D2FFA">
        <w:rPr>
          <w:rFonts w:ascii="標楷體" w:eastAsia="標楷體" w:hint="eastAsia"/>
          <w:sz w:val="36"/>
        </w:rPr>
        <w:t>案件或尚有</w:t>
      </w:r>
      <w:proofErr w:type="gramEnd"/>
      <w:r w:rsidRPr="001D2FFA">
        <w:rPr>
          <w:rFonts w:ascii="標楷體" w:eastAsia="標楷體" w:hint="eastAsia"/>
          <w:sz w:val="36"/>
        </w:rPr>
        <w:t>刑事案件尚在</w:t>
      </w:r>
      <w:proofErr w:type="gramStart"/>
      <w:r w:rsidRPr="001D2FFA">
        <w:rPr>
          <w:rFonts w:ascii="標楷體" w:eastAsia="標楷體" w:hint="eastAsia"/>
          <w:sz w:val="36"/>
        </w:rPr>
        <w:t>繫</w:t>
      </w:r>
      <w:proofErr w:type="gramEnd"/>
      <w:r w:rsidRPr="001D2FFA">
        <w:rPr>
          <w:rFonts w:ascii="標楷體" w:eastAsia="標楷體" w:hint="eastAsia"/>
          <w:sz w:val="36"/>
        </w:rPr>
        <w:t>屬中，</w:t>
      </w:r>
      <w:r w:rsidR="001D397D">
        <w:rPr>
          <w:rFonts w:ascii="標楷體" w:eastAsia="標楷體" w:hint="eastAsia"/>
          <w:sz w:val="36"/>
        </w:rPr>
        <w:t>以上</w:t>
      </w:r>
      <w:r w:rsidRPr="001D2FFA">
        <w:rPr>
          <w:rFonts w:ascii="標楷體" w:eastAsia="標楷體" w:hint="eastAsia"/>
          <w:sz w:val="36"/>
        </w:rPr>
        <w:t>具結</w:t>
      </w:r>
      <w:r w:rsidR="001D397D">
        <w:rPr>
          <w:rFonts w:ascii="標楷體" w:eastAsia="標楷體" w:hint="eastAsia"/>
          <w:sz w:val="36"/>
        </w:rPr>
        <w:t>均</w:t>
      </w:r>
      <w:r w:rsidRPr="001D2FFA">
        <w:rPr>
          <w:rFonts w:ascii="標楷體" w:eastAsia="標楷體" w:hint="eastAsia"/>
          <w:sz w:val="36"/>
        </w:rPr>
        <w:t>屬實，如有隱匿，願負相關法律責任。</w:t>
      </w:r>
    </w:p>
    <w:p w:rsidR="001D2FFA" w:rsidRDefault="001D2FFA" w:rsidP="001D2FFA">
      <w:pPr>
        <w:snapToGrid w:val="0"/>
        <w:spacing w:line="640" w:lineRule="atLeast"/>
        <w:jc w:val="both"/>
        <w:rPr>
          <w:rFonts w:ascii="標楷體" w:eastAsia="標楷體"/>
          <w:sz w:val="36"/>
        </w:rPr>
      </w:pPr>
    </w:p>
    <w:p w:rsidR="00071369" w:rsidRPr="001D2FFA" w:rsidRDefault="00071369" w:rsidP="001D2FFA">
      <w:pPr>
        <w:snapToGrid w:val="0"/>
        <w:spacing w:line="640" w:lineRule="atLeast"/>
        <w:rPr>
          <w:rFonts w:ascii="標楷體" w:eastAsia="標楷體"/>
          <w:sz w:val="36"/>
        </w:rPr>
      </w:pPr>
      <w:r w:rsidRPr="001D2FFA">
        <w:rPr>
          <w:rFonts w:ascii="標楷體" w:eastAsia="標楷體" w:hint="eastAsia"/>
          <w:sz w:val="36"/>
        </w:rPr>
        <w:t>此致</w:t>
      </w:r>
    </w:p>
    <w:p w:rsidR="00071369" w:rsidRDefault="00071369" w:rsidP="001D2FFA">
      <w:pPr>
        <w:snapToGrid w:val="0"/>
        <w:spacing w:line="640" w:lineRule="atLeast"/>
        <w:rPr>
          <w:rFonts w:ascii="標楷體" w:eastAsia="標楷體"/>
          <w:sz w:val="36"/>
        </w:rPr>
      </w:pPr>
      <w:r w:rsidRPr="001D2FFA">
        <w:rPr>
          <w:rFonts w:ascii="標楷體" w:eastAsia="標楷體" w:hint="eastAsia"/>
          <w:sz w:val="36"/>
        </w:rPr>
        <w:t>銓敘部</w:t>
      </w:r>
    </w:p>
    <w:p w:rsidR="001D2FFA" w:rsidRDefault="001D2FFA" w:rsidP="001D2FFA">
      <w:pPr>
        <w:snapToGrid w:val="0"/>
        <w:spacing w:line="640" w:lineRule="atLeast"/>
        <w:rPr>
          <w:rFonts w:ascii="標楷體" w:eastAsia="標楷體"/>
          <w:sz w:val="36"/>
        </w:rPr>
      </w:pPr>
    </w:p>
    <w:p w:rsidR="001D2FFA" w:rsidRDefault="001D2FFA" w:rsidP="001D2FFA">
      <w:pPr>
        <w:snapToGrid w:val="0"/>
        <w:spacing w:line="640" w:lineRule="atLeast"/>
        <w:rPr>
          <w:rFonts w:ascii="標楷體" w:eastAsia="標楷體"/>
          <w:sz w:val="36"/>
        </w:rPr>
      </w:pPr>
    </w:p>
    <w:p w:rsidR="00933333" w:rsidRPr="001D2FFA" w:rsidRDefault="00933333" w:rsidP="001D2FFA">
      <w:pPr>
        <w:snapToGrid w:val="0"/>
        <w:spacing w:line="640" w:lineRule="atLeast"/>
        <w:rPr>
          <w:rFonts w:ascii="標楷體" w:eastAsia="標楷體"/>
          <w:sz w:val="36"/>
        </w:rPr>
      </w:pPr>
    </w:p>
    <w:p w:rsidR="00071369" w:rsidRPr="001D2FFA" w:rsidRDefault="00071369" w:rsidP="001D2FFA">
      <w:pPr>
        <w:snapToGrid w:val="0"/>
        <w:spacing w:afterLines="100" w:after="360" w:line="640" w:lineRule="atLeast"/>
        <w:jc w:val="right"/>
        <w:rPr>
          <w:rFonts w:ascii="標楷體" w:eastAsia="標楷體"/>
          <w:sz w:val="36"/>
        </w:rPr>
      </w:pPr>
      <w:r w:rsidRPr="001D2FFA">
        <w:rPr>
          <w:rFonts w:ascii="標楷體" w:eastAsia="標楷體" w:hint="eastAsia"/>
          <w:sz w:val="36"/>
        </w:rPr>
        <w:t xml:space="preserve">具結人：  </w:t>
      </w:r>
      <w:r w:rsidR="001D2FFA">
        <w:rPr>
          <w:rFonts w:ascii="標楷體" w:eastAsia="標楷體" w:hint="eastAsia"/>
          <w:sz w:val="36"/>
        </w:rPr>
        <w:t xml:space="preserve">         </w:t>
      </w:r>
      <w:r w:rsidRPr="001D2FFA">
        <w:rPr>
          <w:rFonts w:ascii="標楷體" w:eastAsia="標楷體" w:hint="eastAsia"/>
          <w:sz w:val="36"/>
        </w:rPr>
        <w:t xml:space="preserve">  </w:t>
      </w:r>
      <w:r w:rsidR="001D2FFA">
        <w:rPr>
          <w:rFonts w:ascii="標楷體" w:eastAsia="標楷體" w:hint="eastAsia"/>
          <w:sz w:val="36"/>
        </w:rPr>
        <w:t xml:space="preserve">    </w:t>
      </w:r>
      <w:r w:rsidRPr="001D2FFA">
        <w:rPr>
          <w:rFonts w:ascii="標楷體" w:eastAsia="標楷體" w:hint="eastAsia"/>
          <w:sz w:val="36"/>
        </w:rPr>
        <w:t xml:space="preserve"> </w:t>
      </w:r>
      <w:r w:rsidR="001D2FFA">
        <w:rPr>
          <w:rFonts w:ascii="標楷體" w:eastAsia="標楷體" w:hint="eastAsia"/>
          <w:sz w:val="36"/>
        </w:rPr>
        <w:t xml:space="preserve">  </w:t>
      </w:r>
      <w:r w:rsidRPr="001D2FFA">
        <w:rPr>
          <w:rFonts w:ascii="標楷體" w:eastAsia="標楷體" w:hint="eastAsia"/>
          <w:sz w:val="36"/>
        </w:rPr>
        <w:t xml:space="preserve">  </w:t>
      </w:r>
      <w:r w:rsidR="001D2FFA">
        <w:rPr>
          <w:rFonts w:ascii="標楷體" w:eastAsia="標楷體" w:hint="eastAsia"/>
          <w:sz w:val="36"/>
        </w:rPr>
        <w:t>(</w:t>
      </w:r>
      <w:r w:rsidRPr="001D2FFA">
        <w:rPr>
          <w:rFonts w:ascii="標楷體" w:eastAsia="標楷體" w:hint="eastAsia"/>
          <w:sz w:val="36"/>
        </w:rPr>
        <w:t>簽名</w:t>
      </w:r>
      <w:r w:rsidR="001D2FFA">
        <w:rPr>
          <w:rFonts w:ascii="標楷體" w:eastAsia="標楷體" w:hint="eastAsia"/>
          <w:sz w:val="36"/>
        </w:rPr>
        <w:t>)</w:t>
      </w:r>
    </w:p>
    <w:p w:rsidR="00071369" w:rsidRPr="001D2FFA" w:rsidRDefault="00071369" w:rsidP="001D2FFA">
      <w:pPr>
        <w:wordWrap w:val="0"/>
        <w:snapToGrid w:val="0"/>
        <w:spacing w:afterLines="100" w:after="360" w:line="640" w:lineRule="atLeast"/>
        <w:jc w:val="right"/>
        <w:rPr>
          <w:rFonts w:ascii="標楷體" w:eastAsia="標楷體"/>
          <w:sz w:val="36"/>
        </w:rPr>
      </w:pPr>
      <w:r w:rsidRPr="001D2FFA">
        <w:rPr>
          <w:rFonts w:ascii="標楷體" w:eastAsia="標楷體" w:hint="eastAsia"/>
          <w:sz w:val="36"/>
        </w:rPr>
        <w:t>身分證統</w:t>
      </w:r>
      <w:r w:rsidR="001D2FFA">
        <w:rPr>
          <w:rFonts w:ascii="標楷體" w:eastAsia="標楷體" w:hint="eastAsia"/>
          <w:sz w:val="36"/>
        </w:rPr>
        <w:t>一</w:t>
      </w:r>
      <w:r w:rsidRPr="001D2FFA">
        <w:rPr>
          <w:rFonts w:ascii="標楷體" w:eastAsia="標楷體" w:hint="eastAsia"/>
          <w:sz w:val="36"/>
        </w:rPr>
        <w:t>編</w:t>
      </w:r>
      <w:r w:rsidR="001D2FFA">
        <w:rPr>
          <w:rFonts w:ascii="標楷體" w:eastAsia="標楷體" w:hint="eastAsia"/>
          <w:sz w:val="36"/>
        </w:rPr>
        <w:t>號</w:t>
      </w:r>
      <w:r w:rsidRPr="001D2FFA">
        <w:rPr>
          <w:rFonts w:ascii="標楷體" w:eastAsia="標楷體" w:hint="eastAsia"/>
          <w:sz w:val="36"/>
        </w:rPr>
        <w:t>：</w:t>
      </w:r>
      <w:r w:rsidR="001D2FFA">
        <w:rPr>
          <w:rFonts w:ascii="標楷體" w:eastAsia="標楷體" w:hint="eastAsia"/>
          <w:sz w:val="36"/>
        </w:rPr>
        <w:t xml:space="preserve">                    </w:t>
      </w:r>
    </w:p>
    <w:p w:rsidR="00071369" w:rsidRDefault="00071369" w:rsidP="001D2FFA">
      <w:pPr>
        <w:wordWrap w:val="0"/>
        <w:snapToGrid w:val="0"/>
        <w:spacing w:line="640" w:lineRule="atLeast"/>
        <w:jc w:val="right"/>
        <w:rPr>
          <w:rFonts w:ascii="標楷體" w:eastAsia="標楷體"/>
          <w:sz w:val="36"/>
        </w:rPr>
      </w:pPr>
      <w:r w:rsidRPr="001D2FFA">
        <w:rPr>
          <w:rFonts w:ascii="標楷體" w:eastAsia="標楷體" w:hint="eastAsia"/>
          <w:sz w:val="36"/>
        </w:rPr>
        <w:t>服務機關：</w:t>
      </w:r>
      <w:r w:rsidR="001D2FFA">
        <w:rPr>
          <w:rFonts w:ascii="標楷體" w:eastAsia="標楷體" w:hint="eastAsia"/>
          <w:sz w:val="36"/>
        </w:rPr>
        <w:t xml:space="preserve">                          </w:t>
      </w:r>
    </w:p>
    <w:p w:rsidR="001D2FFA" w:rsidRDefault="001D2FFA" w:rsidP="001D2FFA">
      <w:pPr>
        <w:snapToGrid w:val="0"/>
        <w:spacing w:line="640" w:lineRule="atLeast"/>
        <w:jc w:val="right"/>
        <w:rPr>
          <w:rFonts w:ascii="標楷體" w:eastAsia="標楷體"/>
          <w:sz w:val="36"/>
        </w:rPr>
      </w:pPr>
    </w:p>
    <w:p w:rsidR="001D2FFA" w:rsidRPr="001D2FFA" w:rsidRDefault="001D2FFA" w:rsidP="001D2FFA">
      <w:pPr>
        <w:snapToGrid w:val="0"/>
        <w:spacing w:line="640" w:lineRule="atLeast"/>
        <w:jc w:val="right"/>
        <w:rPr>
          <w:rFonts w:ascii="標楷體" w:eastAsia="標楷體"/>
          <w:sz w:val="36"/>
        </w:rPr>
      </w:pPr>
    </w:p>
    <w:p w:rsidR="00071369" w:rsidRDefault="00071369" w:rsidP="001D2FFA">
      <w:pPr>
        <w:snapToGrid w:val="0"/>
        <w:spacing w:line="480" w:lineRule="atLeast"/>
        <w:jc w:val="distribute"/>
        <w:rPr>
          <w:rFonts w:ascii="標楷體" w:eastAsia="標楷體"/>
          <w:sz w:val="40"/>
        </w:rPr>
      </w:pPr>
      <w:r w:rsidRPr="001D2FFA">
        <w:rPr>
          <w:rFonts w:ascii="標楷體" w:eastAsia="標楷體" w:hint="eastAsia"/>
          <w:sz w:val="40"/>
        </w:rPr>
        <w:t>中華民國</w:t>
      </w:r>
      <w:r w:rsidR="001D2FFA" w:rsidRPr="001D2FFA">
        <w:rPr>
          <w:rFonts w:ascii="標楷體" w:eastAsia="標楷體" w:hint="eastAsia"/>
          <w:sz w:val="40"/>
        </w:rPr>
        <w:t xml:space="preserve">    </w:t>
      </w:r>
      <w:r w:rsidRPr="001D2FFA">
        <w:rPr>
          <w:rFonts w:ascii="標楷體" w:eastAsia="標楷體" w:hint="eastAsia"/>
          <w:sz w:val="40"/>
        </w:rPr>
        <w:t>年</w:t>
      </w:r>
      <w:r w:rsidR="001D2FFA" w:rsidRPr="001D2FFA">
        <w:rPr>
          <w:rFonts w:ascii="標楷體" w:eastAsia="標楷體" w:hint="eastAsia"/>
          <w:sz w:val="40"/>
        </w:rPr>
        <w:t xml:space="preserve">    </w:t>
      </w:r>
      <w:r w:rsidRPr="001D2FFA">
        <w:rPr>
          <w:rFonts w:ascii="標楷體" w:eastAsia="標楷體" w:hint="eastAsia"/>
          <w:sz w:val="40"/>
        </w:rPr>
        <w:t>月</w:t>
      </w:r>
      <w:r w:rsidR="001D2FFA" w:rsidRPr="001D2FFA">
        <w:rPr>
          <w:rFonts w:ascii="標楷體" w:eastAsia="標楷體" w:hint="eastAsia"/>
          <w:sz w:val="40"/>
        </w:rPr>
        <w:t xml:space="preserve">    </w:t>
      </w:r>
      <w:r w:rsidRPr="001D2FFA">
        <w:rPr>
          <w:rFonts w:ascii="標楷體" w:eastAsia="標楷體" w:hint="eastAsia"/>
          <w:sz w:val="40"/>
        </w:rPr>
        <w:t>日</w:t>
      </w:r>
    </w:p>
    <w:p w:rsidR="00F32B81" w:rsidRDefault="00F32B81" w:rsidP="001D2FFA">
      <w:pPr>
        <w:snapToGrid w:val="0"/>
        <w:spacing w:line="480" w:lineRule="atLeast"/>
        <w:jc w:val="distribute"/>
        <w:rPr>
          <w:rFonts w:ascii="標楷體" w:eastAsia="標楷體"/>
          <w:sz w:val="40"/>
        </w:rPr>
      </w:pPr>
    </w:p>
    <w:p w:rsidR="00F32B81" w:rsidRPr="00F32B81" w:rsidRDefault="00F32B81" w:rsidP="00F32B81">
      <w:pPr>
        <w:snapToGrid w:val="0"/>
        <w:spacing w:line="480" w:lineRule="atLeast"/>
        <w:rPr>
          <w:rFonts w:ascii="標楷體" w:eastAsia="標楷體"/>
          <w:b/>
          <w:sz w:val="40"/>
          <w:bdr w:val="single" w:sz="4" w:space="0" w:color="auto"/>
        </w:rPr>
      </w:pPr>
      <w:r w:rsidRPr="00F32B81">
        <w:rPr>
          <w:rFonts w:ascii="標楷體" w:eastAsia="標楷體" w:hint="eastAsia"/>
          <w:b/>
          <w:sz w:val="40"/>
          <w:bdr w:val="single" w:sz="4" w:space="0" w:color="auto"/>
        </w:rPr>
        <w:t>具結人請詳閱背面</w:t>
      </w:r>
    </w:p>
    <w:p w:rsidR="00071369" w:rsidRPr="001D2FFA" w:rsidRDefault="00071369" w:rsidP="001D2FFA">
      <w:pPr>
        <w:widowControl/>
        <w:snapToGrid w:val="0"/>
        <w:spacing w:line="480" w:lineRule="atLeast"/>
        <w:rPr>
          <w:rFonts w:ascii="標楷體" w:eastAsia="標楷體"/>
          <w:sz w:val="28"/>
        </w:rPr>
      </w:pPr>
      <w:r w:rsidRPr="001D2FFA">
        <w:rPr>
          <w:rFonts w:ascii="標楷體" w:eastAsia="標楷體"/>
          <w:sz w:val="28"/>
        </w:rPr>
        <w:br w:type="page"/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b/>
          <w:sz w:val="28"/>
        </w:rPr>
      </w:pPr>
      <w:r w:rsidRPr="001D2FFA">
        <w:rPr>
          <w:rFonts w:ascii="標楷體" w:eastAsia="標楷體" w:hint="eastAsia"/>
          <w:b/>
          <w:sz w:val="28"/>
        </w:rPr>
        <w:lastRenderedPageBreak/>
        <w:t>公務人員退休資遣撫</w:t>
      </w:r>
      <w:proofErr w:type="gramStart"/>
      <w:r w:rsidRPr="001D2FFA">
        <w:rPr>
          <w:rFonts w:ascii="標楷體" w:eastAsia="標楷體" w:hint="eastAsia"/>
          <w:b/>
          <w:sz w:val="28"/>
        </w:rPr>
        <w:t>卹</w:t>
      </w:r>
      <w:proofErr w:type="gramEnd"/>
      <w:r w:rsidRPr="001D2FFA">
        <w:rPr>
          <w:rFonts w:ascii="標楷體" w:eastAsia="標楷體" w:hint="eastAsia"/>
          <w:b/>
          <w:sz w:val="28"/>
        </w:rPr>
        <w:t>法第24條</w:t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公務人員有下列情形之</w:t>
      </w:r>
      <w:proofErr w:type="gramStart"/>
      <w:r w:rsidRPr="001D2FFA">
        <w:rPr>
          <w:rFonts w:ascii="標楷體" w:eastAsia="標楷體" w:hint="eastAsia"/>
          <w:sz w:val="28"/>
        </w:rPr>
        <w:t>一</w:t>
      </w:r>
      <w:proofErr w:type="gramEnd"/>
      <w:r w:rsidRPr="001D2FFA">
        <w:rPr>
          <w:rFonts w:ascii="標楷體" w:eastAsia="標楷體" w:hint="eastAsia"/>
          <w:sz w:val="28"/>
        </w:rPr>
        <w:t>而申請退休或資遣者，應不予受理：</w:t>
      </w:r>
    </w:p>
    <w:p w:rsidR="00071369" w:rsidRPr="001D2FFA" w:rsidRDefault="00071369" w:rsidP="001D2FFA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一、留職停薪期間。</w:t>
      </w:r>
    </w:p>
    <w:p w:rsidR="00071369" w:rsidRPr="001D2FFA" w:rsidRDefault="00071369" w:rsidP="001D2FFA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二、停職期間。</w:t>
      </w:r>
    </w:p>
    <w:p w:rsidR="00071369" w:rsidRPr="001D2FFA" w:rsidRDefault="00071369" w:rsidP="001D2FFA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三、休職期間。</w:t>
      </w:r>
    </w:p>
    <w:p w:rsidR="00071369" w:rsidRPr="001D2FFA" w:rsidRDefault="00071369" w:rsidP="001D2FFA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四、動員戡亂時期終止後，涉嫌內亂罪或外患罪而有下列情形之</w:t>
      </w:r>
      <w:proofErr w:type="gramStart"/>
      <w:r w:rsidRPr="001D2FFA">
        <w:rPr>
          <w:rFonts w:ascii="標楷體" w:eastAsia="標楷體" w:hint="eastAsia"/>
          <w:sz w:val="28"/>
        </w:rPr>
        <w:t>一</w:t>
      </w:r>
      <w:proofErr w:type="gramEnd"/>
      <w:r w:rsidRPr="001D2FFA">
        <w:rPr>
          <w:rFonts w:ascii="標楷體" w:eastAsia="標楷體" w:hint="eastAsia"/>
          <w:sz w:val="28"/>
        </w:rPr>
        <w:t>者：</w:t>
      </w:r>
    </w:p>
    <w:p w:rsidR="00071369" w:rsidRPr="001D2FFA" w:rsidRDefault="00071369" w:rsidP="001D2FFA">
      <w:pPr>
        <w:snapToGrid w:val="0"/>
        <w:spacing w:line="440" w:lineRule="atLeast"/>
        <w:ind w:leftChars="118" w:left="283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（一）所涉犯罪尚未判決確定。</w:t>
      </w:r>
    </w:p>
    <w:p w:rsidR="00071369" w:rsidRPr="001D2FFA" w:rsidRDefault="00071369" w:rsidP="001D2FFA">
      <w:pPr>
        <w:snapToGrid w:val="0"/>
        <w:spacing w:line="440" w:lineRule="atLeast"/>
        <w:ind w:leftChars="118" w:left="283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（二）所涉犯罪經檢察官為不起訴或緩起訴處分，尚未確定。</w:t>
      </w:r>
    </w:p>
    <w:p w:rsidR="00071369" w:rsidRPr="001D2FFA" w:rsidRDefault="00071369" w:rsidP="001D2FFA">
      <w:pPr>
        <w:snapToGrid w:val="0"/>
        <w:spacing w:line="440" w:lineRule="atLeast"/>
        <w:ind w:leftChars="118" w:left="283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（三）所涉犯罪經檢察官為緩起訴處分確定，尚未期滿。</w:t>
      </w:r>
    </w:p>
    <w:p w:rsidR="00071369" w:rsidRPr="001D2FFA" w:rsidRDefault="00071369" w:rsidP="001D2FFA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五、涉嫌貪污治罪條例或刑法瀆職罪章之罪，且經法院判處有期徒刑以上之刑，尚未確定。</w:t>
      </w:r>
    </w:p>
    <w:p w:rsidR="00071369" w:rsidRPr="001D2FFA" w:rsidRDefault="00071369" w:rsidP="001D2FFA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六、因案經權責機關依法移送懲戒或送請監察院審查中，或已經權責機關依法為懲戒判決但尚未發生效力。</w:t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七、其他法律有特別規定。</w:t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前項第四款至第七款人員，自</w:t>
      </w:r>
      <w:proofErr w:type="gramStart"/>
      <w:r w:rsidRPr="001D2FFA">
        <w:rPr>
          <w:rFonts w:ascii="標楷體" w:eastAsia="標楷體" w:hint="eastAsia"/>
          <w:sz w:val="28"/>
        </w:rPr>
        <w:t>屆退日</w:t>
      </w:r>
      <w:proofErr w:type="gramEnd"/>
      <w:r w:rsidRPr="001D2FFA">
        <w:rPr>
          <w:rFonts w:ascii="標楷體" w:eastAsia="標楷體" w:hint="eastAsia"/>
          <w:sz w:val="28"/>
        </w:rPr>
        <w:t>起，應先行停職。</w:t>
      </w:r>
    </w:p>
    <w:p w:rsidR="00071369" w:rsidRPr="001D2FFA" w:rsidRDefault="00071369" w:rsidP="00F32B81">
      <w:pPr>
        <w:snapToGrid w:val="0"/>
        <w:spacing w:line="440" w:lineRule="atLeast"/>
        <w:ind w:left="2" w:hanging="2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第一項第二款及前項人員自</w:t>
      </w:r>
      <w:proofErr w:type="gramStart"/>
      <w:r w:rsidRPr="001D2FFA">
        <w:rPr>
          <w:rFonts w:ascii="標楷體" w:eastAsia="標楷體" w:hint="eastAsia"/>
          <w:sz w:val="28"/>
        </w:rPr>
        <w:t>屆退日</w:t>
      </w:r>
      <w:proofErr w:type="gramEnd"/>
      <w:r w:rsidRPr="001D2FFA">
        <w:rPr>
          <w:rFonts w:ascii="標楷體" w:eastAsia="標楷體" w:hint="eastAsia"/>
          <w:sz w:val="28"/>
        </w:rPr>
        <w:t>至原因消滅之日，得比照停職人員發給半數之本（年功）</w:t>
      </w:r>
      <w:proofErr w:type="gramStart"/>
      <w:r w:rsidRPr="001D2FFA">
        <w:rPr>
          <w:rFonts w:ascii="標楷體" w:eastAsia="標楷體" w:hint="eastAsia"/>
          <w:sz w:val="28"/>
        </w:rPr>
        <w:t>俸</w:t>
      </w:r>
      <w:proofErr w:type="gramEnd"/>
      <w:r w:rsidRPr="001D2FFA">
        <w:rPr>
          <w:rFonts w:ascii="標楷體" w:eastAsia="標楷體" w:hint="eastAsia"/>
          <w:sz w:val="28"/>
        </w:rPr>
        <w:t>額。</w:t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b/>
          <w:sz w:val="28"/>
        </w:rPr>
      </w:pPr>
      <w:r w:rsidRPr="001D2FFA">
        <w:rPr>
          <w:rFonts w:ascii="標楷體" w:eastAsia="標楷體" w:hint="eastAsia"/>
          <w:b/>
          <w:sz w:val="28"/>
        </w:rPr>
        <w:t>公務人員退休資遣撫</w:t>
      </w:r>
      <w:proofErr w:type="gramStart"/>
      <w:r w:rsidRPr="001D2FFA">
        <w:rPr>
          <w:rFonts w:ascii="標楷體" w:eastAsia="標楷體" w:hint="eastAsia"/>
          <w:b/>
          <w:sz w:val="28"/>
        </w:rPr>
        <w:t>卹</w:t>
      </w:r>
      <w:proofErr w:type="gramEnd"/>
      <w:r w:rsidRPr="001D2FFA">
        <w:rPr>
          <w:rFonts w:ascii="標楷體" w:eastAsia="標楷體" w:hint="eastAsia"/>
          <w:b/>
          <w:sz w:val="28"/>
        </w:rPr>
        <w:t>法施行細則第44條</w:t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各機關受理涉案或涉有違失行為之所屬公務人員退休或資遣案時，應依下列規定辦理：</w:t>
      </w:r>
    </w:p>
    <w:p w:rsidR="00071369" w:rsidRPr="001D2FFA" w:rsidRDefault="00071369" w:rsidP="00F32B81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一、召開考績委員會，就其涉案或違失情節，確實檢討其行政責任</w:t>
      </w:r>
      <w:proofErr w:type="gramStart"/>
      <w:r w:rsidRPr="001D2FFA">
        <w:rPr>
          <w:rFonts w:ascii="標楷體" w:eastAsia="標楷體" w:hint="eastAsia"/>
          <w:sz w:val="28"/>
        </w:rPr>
        <w:t>並詳慎審</w:t>
      </w:r>
      <w:proofErr w:type="gramEnd"/>
      <w:r w:rsidRPr="001D2FFA">
        <w:rPr>
          <w:rFonts w:ascii="標楷體" w:eastAsia="標楷體" w:hint="eastAsia"/>
          <w:sz w:val="28"/>
        </w:rPr>
        <w:t>酌是否應依公務員懲戒法規定，移送懲戒或送請監察院審查，及應否依相關法律核予停職或免職。</w:t>
      </w:r>
    </w:p>
    <w:p w:rsidR="00071369" w:rsidRPr="001D2FFA" w:rsidRDefault="00071369" w:rsidP="00F32B81">
      <w:pPr>
        <w:snapToGrid w:val="0"/>
        <w:spacing w:line="440" w:lineRule="atLeast"/>
        <w:ind w:left="566" w:hangingChars="202" w:hanging="566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二、經召開考績委員會檢討後，仍同意受理其申請退休或資遣時，應於彙送審定機關之函內，敘</w:t>
      </w:r>
      <w:proofErr w:type="gramStart"/>
      <w:r w:rsidRPr="001D2FFA">
        <w:rPr>
          <w:rFonts w:ascii="標楷體" w:eastAsia="標楷體" w:hint="eastAsia"/>
          <w:sz w:val="28"/>
        </w:rPr>
        <w:t>明理由並檢</w:t>
      </w:r>
      <w:proofErr w:type="gramEnd"/>
      <w:r w:rsidRPr="001D2FFA">
        <w:rPr>
          <w:rFonts w:ascii="標楷體" w:eastAsia="標楷體" w:hint="eastAsia"/>
          <w:sz w:val="28"/>
        </w:rPr>
        <w:t>同相關審查資料，以明責任。</w:t>
      </w:r>
    </w:p>
    <w:p w:rsidR="00071369" w:rsidRPr="001D2FFA" w:rsidRDefault="00071369" w:rsidP="001D2FFA">
      <w:pPr>
        <w:snapToGrid w:val="0"/>
        <w:spacing w:line="440" w:lineRule="atLeast"/>
        <w:rPr>
          <w:rFonts w:ascii="標楷體" w:eastAsia="標楷體"/>
          <w:sz w:val="28"/>
        </w:rPr>
      </w:pPr>
      <w:r w:rsidRPr="001D2FFA">
        <w:rPr>
          <w:rFonts w:ascii="標楷體" w:eastAsia="標楷體" w:hint="eastAsia"/>
          <w:sz w:val="28"/>
        </w:rPr>
        <w:t>前項所定各機關應召開考績委員會檢討行政責任之程序，於依公務人員考績法規定未設有考績委員會之機關，應送由上級機關考績委員會</w:t>
      </w:r>
      <w:proofErr w:type="gramStart"/>
      <w:r w:rsidRPr="001D2FFA">
        <w:rPr>
          <w:rFonts w:ascii="標楷體" w:eastAsia="標楷體" w:hint="eastAsia"/>
          <w:sz w:val="28"/>
        </w:rPr>
        <w:t>覈</w:t>
      </w:r>
      <w:proofErr w:type="gramEnd"/>
      <w:r w:rsidRPr="001D2FFA">
        <w:rPr>
          <w:rFonts w:ascii="標楷體" w:eastAsia="標楷體" w:hint="eastAsia"/>
          <w:sz w:val="28"/>
        </w:rPr>
        <w:t>實辦理。但另有懲處規定者，從其規定之程序辦理。</w:t>
      </w:r>
    </w:p>
    <w:sectPr w:rsidR="00071369" w:rsidRPr="001D2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05" w:rsidRDefault="00E11005" w:rsidP="001D2FFA">
      <w:r>
        <w:separator/>
      </w:r>
    </w:p>
  </w:endnote>
  <w:endnote w:type="continuationSeparator" w:id="0">
    <w:p w:rsidR="00E11005" w:rsidRDefault="00E11005" w:rsidP="001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05" w:rsidRDefault="00E11005" w:rsidP="001D2FFA">
      <w:r>
        <w:separator/>
      </w:r>
    </w:p>
  </w:footnote>
  <w:footnote w:type="continuationSeparator" w:id="0">
    <w:p w:rsidR="00E11005" w:rsidRDefault="00E11005" w:rsidP="001D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9"/>
    <w:rsid w:val="00071369"/>
    <w:rsid w:val="001D2FFA"/>
    <w:rsid w:val="001D397D"/>
    <w:rsid w:val="002E26F5"/>
    <w:rsid w:val="005922B9"/>
    <w:rsid w:val="00933333"/>
    <w:rsid w:val="00B708F4"/>
    <w:rsid w:val="00C1000C"/>
    <w:rsid w:val="00C258F4"/>
    <w:rsid w:val="00E11005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F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F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蕭丞舜</dc:creator>
  <cp:lastModifiedBy>高明賢</cp:lastModifiedBy>
  <cp:revision>2</cp:revision>
  <dcterms:created xsi:type="dcterms:W3CDTF">2022-09-17T00:15:00Z</dcterms:created>
  <dcterms:modified xsi:type="dcterms:W3CDTF">2022-09-17T00:15:00Z</dcterms:modified>
</cp:coreProperties>
</file>